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E10600"/>
          <w:sz w:val="16"/>
        </w:rPr>
        <w:t>WEGROYOU · DONORS · FOUNDATIONS · MUNICIPALITY · SCHOOLS · GOVERNMENT</w:t>
      </w:r>
    </w:p>
    <w:p>
      <w:r>
        <w:rPr>
          <w:b/>
          <w:sz w:val="40"/>
        </w:rPr>
        <w:t>Community Impact Charter</w:t>
      </w:r>
    </w:p>
    <w:p>
      <w:r>
        <w:rPr>
          <w:color w:val="6B7280"/>
          <w:sz w:val="16"/>
        </w:rPr>
        <w:t>Version v1 · May 2026</w:t>
      </w:r>
    </w:p>
    <w:p/>
    <w:p>
      <w:r>
        <w:rPr>
          <w:b/>
          <w:color w:val="E10600"/>
          <w:sz w:val="16"/>
        </w:rPr>
        <w:t>PURPOSE</w:t>
      </w:r>
    </w:p>
    <w:p>
      <w:r>
        <w:t>This charter sets out the public commitments that the WeGroYou NPC makes to the Franschhoek valley and the broader Cape Winelands community. It is the basis on which donors, government and the community can hold the NPC accountable.</w:t>
      </w:r>
    </w:p>
    <w:p>
      <w:r>
        <w:rPr>
          <w:b/>
          <w:sz w:val="32"/>
        </w:rPr>
        <w:t>1. Distribution commitment</w:t>
      </w:r>
    </w:p>
    <w:p>
      <w:r>
        <w:t>After funding the annual R12m operating reserve, 30% of EBITDA is distributed to a sister PBO that funds the school programme and valley youth initiatives. This commitment is a reserved matter and cannot be changed without a 75% NPC board supermajority.</w:t>
      </w:r>
    </w:p>
    <w:p>
      <w:r>
        <w:rPr>
          <w:b/>
          <w:sz w:val="32"/>
        </w:rPr>
        <w:t>2. School scale-out</w:t>
      </w:r>
    </w:p>
    <w:p>
      <w:pPr>
        <w:pStyle w:val="ListBullet"/>
      </w:pPr>
      <w:r>
        <w:t>Year 1: 700 learners enrolled in the WeGroYou Basic School</w:t>
      </w:r>
    </w:p>
    <w:p>
      <w:pPr>
        <w:pStyle w:val="ListBullet"/>
      </w:pPr>
      <w:r>
        <w:t>Years 2–5: progressive scale-out toward 20,000 learners across affiliated campuses</w:t>
      </w:r>
    </w:p>
    <w:p>
      <w:pPr>
        <w:pStyle w:val="ListBullet"/>
      </w:pPr>
      <w:r>
        <w:t>Free attendance for talent-feeder bursaries up to a published quota each year</w:t>
      </w:r>
    </w:p>
    <w:p>
      <w:pPr>
        <w:pStyle w:val="ListBullet"/>
      </w:pPr>
      <w:r>
        <w:t>Independent academic governance — school is run by an appointed school board</w:t>
      </w:r>
    </w:p>
    <w:p>
      <w:r>
        <w:rPr>
          <w:b/>
          <w:sz w:val="32"/>
        </w:rPr>
        <w:t>3. Valley uplift</w:t>
      </w:r>
    </w:p>
    <w:p>
      <w:r>
        <w:t>The NPC is committed to engaging existing valley NPOs as primary delivery partners — including InHarmonie, Pebbles Project, Click Foundation and Shine Literacy. The full engagement plan is published at /valley-partners and updated quarterly.</w:t>
      </w:r>
    </w:p>
    <w:p>
      <w:r>
        <w:rPr>
          <w:b/>
          <w:sz w:val="32"/>
        </w:rPr>
        <w:t>4. Heritage stewardship</w:t>
      </w:r>
    </w:p>
    <w:p>
      <w:r>
        <w:t>The AD 1907 building at 15 Union Street is operated under Heritage Western Cape oversight. No structural changes are made without heritage approval. The building's history is documented and made publicly accessible through the campus Hall of Fame.</w:t>
      </w:r>
    </w:p>
    <w:p>
      <w:r>
        <w:rPr>
          <w:b/>
          <w:sz w:val="32"/>
        </w:rPr>
        <w:t>5. Reporting</w:t>
      </w:r>
    </w:p>
    <w:p>
      <w:r>
        <w:t>The NPC publishes an annual impact report covering EBITDA, distribution, school enrolment, valley-partner engagement, and Wegro Ventures pipeline outcomes. Quarterly stakeholder updates are issued via the /stakeholders document hub.</w:t>
      </w:r>
    </w:p>
    <w:p>
      <w:r>
        <w:rPr>
          <w:b/>
          <w:sz w:val="32"/>
        </w:rPr>
        <w:t>6. Municipality and government interface</w:t>
      </w:r>
    </w:p>
    <w:p>
      <w:r>
        <w:t>The NPC engages Stellenbosch Municipality (Franschhoek), the Western Cape Department of Education, Heritage Western Cape, and Wesgro as primary public-sector counterparties. Engagement is coordinated by ManCo and reported to the NPC board.</w:t>
      </w:r>
    </w:p>
    <w:p/>
    <w:p>
      <w:r>
        <w:rPr>
          <w:color w:val="6B7280"/>
          <w:sz w:val="16"/>
        </w:rPr>
        <w:t>Structured draft — not a final legal instrument. WeGroYou NPC + Co-op.</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