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color w:val="E5322D"/>
          <w:sz w:val="16"/>
          <w:szCs w:val="16"/>
        </w:rPr>
        <w:t xml:space="preserve">WE / GRO / YOU</w:t>
      </w:r>
    </w:p>
    <w:p>
      <w:r>
        <w:rPr>
          <w:b/>
          <w:bCs/>
          <w:color w:val="E5322D"/>
          <w:sz w:val="16"/>
          <w:szCs w:val="16"/>
        </w:rPr>
        <w:t xml:space="preserve">WEGROYOU · V1</w:t>
      </w:r>
    </w:p>
    <w:p>
      <w:pPr>
        <w:pStyle w:val="Heading1"/>
      </w:pPr>
      <w:r>
        <w:rPr>
          <w:b/>
          <w:bCs/>
          <w:sz w:val="44"/>
          <w:szCs w:val="44"/>
        </w:rPr>
        <w:t xml:space="preserve">Education &amp; Growth Foundation SA — Charter</w:t>
      </w:r>
    </w:p>
    <w:p>
      <w:r>
        <w:t xml:space="preserve"> </w:t>
      </w:r>
    </w:p>
    <w:p>
      <w:pPr>
        <w:spacing w:after="120"/>
      </w:pPr>
      <w:r>
        <w:rPr>
          <w:i/>
          <w:iCs/>
          <w:color w:val="6E6E6E"/>
          <w:sz w:val="18"/>
          <w:szCs w:val="18"/>
        </w:rPr>
        <w:t xml:space="preserve">Version 1 · May 2026 · For approval by the founding sponsor seat, NPC board and incoming Foundation trustees.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1. Why this Foundation exists</w:t>
      </w:r>
    </w:p>
    <w:p>
      <w:pPr>
        <w:spacing w:after="120"/>
      </w:pPr>
      <w:r>
        <w:rPr>
          <w:sz w:val="22"/>
          <w:szCs w:val="22"/>
        </w:rPr>
        <w:t xml:space="preserve">Every operating layer above the campus (ManCo, vertical operators, brokers, Ventures carry recipients) carries incentive equity. The Education &amp; Growth Foundation SA is the rule above the rules: every incentivised party signs a pledge that routes a defined slice of upside back into bursaries, teacher development, school scale-out and valley founder grants.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2. Mandate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Bursaries for WeGroYou Basic School learners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Teacher development across the school and partner schools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School scale-out — 700 → 20,000 learners over five years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Seed grants for valley-born founders graduating through Wegro Ventures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Capital pool for the next campus (replication of the model)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3. Pledge schedule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5000"/>
      </w:tblGrid>
      <w:tr>
        <w:tc>
          <w:tcPr>
            <w:tcW w:type="dxa" w:w="4500"/>
            <w:shd w:fill="F2F2EE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Incentive holder</w:t>
            </w:r>
          </w:p>
        </w:tc>
        <w:tc>
          <w:tcPr>
            <w:tcW w:type="dxa" w:w="4500"/>
            <w:shd w:fill="F2F2EE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Pledge to Foundation</w:t>
            </w:r>
          </w:p>
        </w:tc>
      </w:tr>
      <w:tr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ManCo founders' equity</w:t>
            </w:r>
          </w:p>
        </w:tc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25% of any exit or dividend</w:t>
            </w:r>
          </w:p>
        </w:tc>
      </w:tr>
      <w:tr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Wegro Ventures carry</w:t>
            </w:r>
          </w:p>
        </w:tc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25% of carry on every realised exit</w:t>
            </w:r>
          </w:p>
        </w:tc>
      </w:tr>
      <w:tr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Vertical operator equity (chefs, rangers, sportif, ventures, etc.)</w:t>
            </w:r>
          </w:p>
        </w:tc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10% of operator equity issued at incorporation</w:t>
            </w:r>
          </w:p>
        </w:tc>
      </w:tr>
      <w:tr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LifeStone broker fee</w:t>
            </w:r>
          </w:p>
        </w:tc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100% routed via Foundation on exit</w:t>
            </w:r>
          </w:p>
        </w:tc>
      </w:tr>
      <w:tr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Patron donations</w:t>
            </w:r>
          </w:p>
        </w:tc>
        <w:tc>
          <w:tcPr>
            <w:tcW w:type="dxa" w:w="4500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100% to NPC; education-tagged portion held by Foundation</w:t>
            </w:r>
          </w:p>
        </w:tc>
      </w:tr>
    </w:tbl>
    <w:p>
      <w:r>
        <w:t xml:space="preserve"> 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4. Governance</w:t>
      </w:r>
    </w:p>
    <w:p>
      <w:pPr>
        <w:spacing w:after="120"/>
      </w:pPr>
      <w:r>
        <w:rPr>
          <w:sz w:val="22"/>
          <w:szCs w:val="22"/>
        </w:rPr>
        <w:t xml:space="preserve">Trustees: one NPC, one founding sponsor (Hein/La Motte tier), one school, one independent education-sector representative, one valley community representative.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5. Pledge clauses in every agreement</w:t>
      </w:r>
    </w:p>
    <w:p>
      <w:pPr>
        <w:spacing w:after="120"/>
      </w:pPr>
      <w:r>
        <w:rPr>
          <w:sz w:val="22"/>
          <w:szCs w:val="22"/>
        </w:rPr>
        <w:t xml:space="preserve">The pledge is written into the ManCo Mandate, every vertical operator tenancy agreement, the LifeStone broker engagement, and every Wegro Ventures carry agreement at signature. Irrevocable. Survives change of control.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6. Reporting and transparency</w:t>
      </w:r>
    </w:p>
    <w:p>
      <w:pPr>
        <w:spacing w:after="120"/>
      </w:pPr>
      <w:r>
        <w:rPr>
          <w:sz w:val="22"/>
          <w:szCs w:val="22"/>
        </w:rPr>
        <w:t xml:space="preserve">Annual report published in /stakeholders.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7. Status and incorporation</w:t>
      </w:r>
    </w:p>
    <w:p>
      <w:pPr>
        <w:spacing w:after="120"/>
      </w:pPr>
      <w:r>
        <w:rPr>
          <w:sz w:val="22"/>
          <w:szCs w:val="22"/>
        </w:rPr>
        <w:t xml:space="preserve">South African PBO under §30 of the Income Tax Act. To be formed or nominated.</w:t>
      </w:r>
    </w:p>
    <w:p>
      <w:pPr>
        <w:spacing w:after="120"/>
      </w:pPr>
      <w:r>
        <w:rPr>
          <w:i/>
          <w:iCs/>
          <w:color w:val="6E6E6E"/>
          <w:sz w:val="18"/>
          <w:szCs w:val="18"/>
        </w:rPr>
        <w:t xml:space="preserve">Signatures: Founding sponsor seat · NPC board chair · Managing Partner · LifeStone · incoming Foundation trustees.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2026-05-01T20:28:56.824Z</dcterms:created>
  <dcterms:modified xsi:type="dcterms:W3CDTF">2026-05-01T20:28:56.824Z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