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color w:val="E5322D"/>
          <w:sz w:val="16"/>
          <w:szCs w:val="16"/>
        </w:rPr>
        <w:t xml:space="preserve">WE / GRO / YOU</w:t>
      </w:r>
    </w:p>
    <w:p>
      <w:r>
        <w:rPr>
          <w:b/>
          <w:bCs/>
          <w:color w:val="E5322D"/>
          <w:sz w:val="16"/>
          <w:szCs w:val="16"/>
        </w:rPr>
        <w:t xml:space="preserve">WEGROYOU · V2</w:t>
      </w:r>
    </w:p>
    <w:p>
      <w:pPr>
        <w:pStyle w:val="Heading1"/>
      </w:pPr>
      <w:r>
        <w:rPr>
          <w:b/>
          <w:bCs/>
          <w:sz w:val="44"/>
          <w:szCs w:val="44"/>
        </w:rPr>
        <w:t xml:space="preserve">ManCo Mandate</w:t>
      </w:r>
    </w:p>
    <w:p>
      <w:r>
        <w:t xml:space="preserve"> </w:t>
      </w:r>
    </w:p>
    <w:p>
      <w:pPr>
        <w:spacing w:after="120"/>
      </w:pPr>
      <w:r>
        <w:rPr>
          <w:i/>
          <w:iCs/>
          <w:color w:val="6E6E6E"/>
          <w:sz w:val="18"/>
          <w:szCs w:val="18"/>
        </w:rPr>
        <w:t xml:space="preserve">Version 2 · May 2026 · Replaces v1. Approved by NPC board (pending signature).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1. Purpose</w:t>
      </w:r>
    </w:p>
    <w:p>
      <w:pPr>
        <w:spacing w:after="120"/>
      </w:pPr>
      <w:r>
        <w:rPr>
          <w:sz w:val="22"/>
          <w:szCs w:val="22"/>
        </w:rPr>
        <w:t xml:space="preserve">This Mandate sets out the terms on which the Managing Partner (Wim Meyer, acting through ManCo (Pty) Ltd) operates the WeGroYou campus on behalf of the WeGroYou NPC + Co-op.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2. Standard management fee — locked from month one</w:t>
      </w:r>
    </w:p>
    <w:p>
      <w:pPr>
        <w:spacing w:after="120"/>
      </w:pPr>
      <w:r>
        <w:rPr>
          <w:sz w:val="22"/>
          <w:szCs w:val="22"/>
        </w:rPr>
        <w:t xml:space="preserve">ManCo is paid a standard management fee of </w:t>
      </w:r>
      <w:r>
        <w:rPr>
          <w:b/>
          <w:bCs/>
          <w:sz w:val="22"/>
          <w:szCs w:val="22"/>
        </w:rPr>
        <w:t xml:space="preserve">5% of gross campus revenue</w:t>
      </w:r>
      <w:r>
        <w:rPr>
          <w:sz w:val="22"/>
          <w:szCs w:val="22"/>
        </w:rPr>
        <w:t xml:space="preserve">, paid monthly, commencing in month one of operations. There is no ramp, no waiver, no deferral. This fee is fixed for years 1–3 and reviewable thereafter only by a 75% supermajority vote of the NPC board.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3. Performance fee</w:t>
      </w:r>
    </w:p>
    <w:p>
      <w:pPr>
        <w:spacing w:after="120"/>
      </w:pPr>
      <w:r>
        <w:rPr>
          <w:sz w:val="22"/>
          <w:szCs w:val="22"/>
        </w:rPr>
        <w:t xml:space="preserve">ManCo is entitled to </w:t>
      </w:r>
      <w:r>
        <w:rPr>
          <w:b/>
          <w:bCs/>
          <w:sz w:val="22"/>
          <w:szCs w:val="22"/>
        </w:rPr>
        <w:t xml:space="preserve">15% of EBITDA above the hurdle</w:t>
      </w:r>
      <w:r>
        <w:rPr>
          <w:sz w:val="22"/>
          <w:szCs w:val="22"/>
        </w:rPr>
        <w:t xml:space="preserve">, where the hurdle is full funding of the NPC's R12 million annual reserve.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4. Wegro Ventures carry</w:t>
      </w:r>
    </w:p>
    <w:p>
      <w:pPr>
        <w:spacing w:after="120"/>
      </w:pPr>
      <w:r>
        <w:rPr>
          <w:sz w:val="22"/>
          <w:szCs w:val="22"/>
        </w:rPr>
        <w:t xml:space="preserve">ManCo is entitled to </w:t>
      </w:r>
      <w:r>
        <w:rPr>
          <w:b/>
          <w:bCs/>
          <w:sz w:val="22"/>
          <w:szCs w:val="22"/>
        </w:rPr>
        <w:t xml:space="preserve">10% carried interest</w:t>
      </w:r>
      <w:r>
        <w:rPr>
          <w:sz w:val="22"/>
          <w:szCs w:val="22"/>
        </w:rPr>
        <w:t xml:space="preserve"> on the realised exit value of any venture graduated through Wegro Ventures on the campus.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5. ManCo founders' equity</w:t>
      </w:r>
    </w:p>
    <w:p>
      <w:pPr>
        <w:spacing w:after="120"/>
      </w:pPr>
      <w:r>
        <w:rPr>
          <w:b/>
          <w:bCs/>
          <w:sz w:val="22"/>
          <w:szCs w:val="22"/>
        </w:rPr>
        <w:t xml:space="preserve">10% of ManCo (Pty) Ltd</w:t>
      </w:r>
      <w:r>
        <w:rPr>
          <w:sz w:val="22"/>
          <w:szCs w:val="22"/>
        </w:rPr>
        <w:t xml:space="preserve"> is allocated to Wim Meyer as Managing Partner, vesting over four years with a one-year cliff.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6. Foundation pledge</w:t>
      </w:r>
    </w:p>
    <w:p>
      <w:pPr>
        <w:spacing w:after="120"/>
      </w:pPr>
      <w:r>
        <w:rPr>
          <w:sz w:val="22"/>
          <w:szCs w:val="22"/>
        </w:rPr>
        <w:t xml:space="preserve">ManCo contractually pledges </w:t>
      </w:r>
      <w:r>
        <w:rPr>
          <w:b/>
          <w:bCs/>
          <w:sz w:val="22"/>
          <w:szCs w:val="22"/>
        </w:rPr>
        <w:t xml:space="preserve">25% of any exit or dividend</w:t>
      </w:r>
      <w:r>
        <w:rPr>
          <w:sz w:val="22"/>
          <w:szCs w:val="22"/>
        </w:rPr>
        <w:t xml:space="preserve"> on its founders' equity, and </w:t>
      </w:r>
      <w:r>
        <w:rPr>
          <w:b/>
          <w:bCs/>
          <w:sz w:val="22"/>
          <w:szCs w:val="22"/>
        </w:rPr>
        <w:t xml:space="preserve">25% of any Wegro Ventures carry</w:t>
      </w:r>
      <w:r>
        <w:rPr>
          <w:sz w:val="22"/>
          <w:szCs w:val="22"/>
        </w:rPr>
        <w:t xml:space="preserve">, to the Education &amp; Growth Foundation SA.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7. Replacement</w:t>
      </w:r>
    </w:p>
    <w:p>
      <w:pPr>
        <w:spacing w:after="120"/>
      </w:pPr>
      <w:r>
        <w:rPr>
          <w:sz w:val="22"/>
          <w:szCs w:val="22"/>
        </w:rPr>
        <w:t xml:space="preserve">ManCo is replaceable on six (6) months' written notice by a 75% supermajority vote of the NPC board.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8. Reserved matters</w:t>
      </w:r>
    </w:p>
    <w:p>
      <w:pPr>
        <w:spacing w:after="120"/>
      </w:pPr>
      <w:r>
        <w:rPr>
          <w:sz w:val="22"/>
          <w:szCs w:val="22"/>
        </w:rPr>
        <w:t xml:space="preserve">ManCo may not, without express prior NPC board approval: cede or sub-lease the campus; close or materially restructure the Basic School; license, sell or pledge the Wegro.africa IP pool; vary this Mandate.</w:t>
      </w:r>
    </w:p>
    <w:p>
      <w:pPr>
        <w:pStyle w:val="Heading2"/>
      </w:pPr>
      <w:r>
        <w:rPr>
          <w:b/>
          <w:bCs/>
          <w:sz w:val="28"/>
          <w:szCs w:val="28"/>
        </w:rPr>
        <w:t xml:space="preserve">9. Reporting</w:t>
      </w:r>
    </w:p>
    <w:p>
      <w:pPr>
        <w:spacing w:after="120"/>
      </w:pPr>
      <w:r>
        <w:rPr>
          <w:sz w:val="22"/>
          <w:szCs w:val="22"/>
        </w:rPr>
        <w:t xml:space="preserve">ManCo reports monthly to the NPC board. Annual audited accounts are filed with the NPC and the Foundation.</w:t>
      </w:r>
    </w:p>
    <w:p>
      <w:pPr>
        <w:spacing w:after="120"/>
      </w:pPr>
      <w:r>
        <w:rPr>
          <w:i/>
          <w:iCs/>
          <w:color w:val="6E6E6E"/>
          <w:sz w:val="18"/>
          <w:szCs w:val="18"/>
        </w:rPr>
        <w:t xml:space="preserve">Signature pages follow.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2026-05-01T20:28:56.746Z</dcterms:created>
  <dcterms:modified xsi:type="dcterms:W3CDTF">2026-05-01T20:28:56.746Z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