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color w:val="E5322D"/>
          <w:sz w:val="16"/>
          <w:szCs w:val="16"/>
        </w:rPr>
        <w:t xml:space="preserve">ADDENDUM · TENANT OPERATOR · v1 · MAY 2026</w:t>
      </w:r>
    </w:p>
    <w:p>
      <w:pPr>
        <w:pStyle w:val="Heading1"/>
      </w:pPr>
      <w:r>
        <w:rPr>
          <w:b/>
          <w:bCs/>
          <w:sz w:val="40"/>
          <w:szCs w:val="40"/>
        </w:rPr>
        <w:t xml:space="preserve">Operator Equity &amp; Foundation Pledge Addendum</w:t>
      </w:r>
    </w:p>
    <w:p>
      <w:pPr>
        <w:spacing w:after="200"/>
      </w:pPr>
      <w:r>
        <w:rPr>
          <w:i/>
          <w:iCs/>
          <w:color w:val="6E6E6E"/>
          <w:sz w:val="18"/>
          <w:szCs w:val="18"/>
        </w:rPr>
        <w:t xml:space="preserve">Template clause set appended, unmodified, to every vertical operator tenancy agreement on the WeGroYou campus — including NXT Chefs, NXT Rangers, NXT Sportif, Wegro Ventures, NXTMed, Creators Academy, GroLab and any future operator.</w:t>
      </w:r>
    </w:p>
    <w:p>
      <w:pPr>
        <w:pStyle w:val="Heading2"/>
      </w:pPr>
      <w:r>
        <w:rPr>
          <w:b/>
          <w:bCs/>
          <w:sz w:val="26"/>
          <w:szCs w:val="26"/>
        </w:rPr>
        <w:t xml:space="preserve">Parties</w:t>
      </w:r>
    </w:p>
    <w:p>
      <w:pPr>
        <w:spacing w:after="140"/>
      </w:pPr>
      <w:r>
        <w:rPr>
          <w:sz w:val="22"/>
          <w:szCs w:val="22"/>
        </w:rPr>
        <w:t xml:space="preserve">This Addendum is entered into between:</w:t>
      </w:r>
    </w:p>
    <w:p>
      <w:pPr>
        <w:spacing w:after="140"/>
      </w:pPr>
      <w:r>
        <w:rPr>
          <w:sz w:val="22"/>
          <w:szCs w:val="22"/>
        </w:rPr>
        <w:t xml:space="preserve">(a) </w:t>
      </w:r>
      <w:r>
        <w:rPr>
          <w:b/>
          <w:bCs/>
          <w:sz w:val="22"/>
          <w:szCs w:val="22"/>
        </w:rPr>
        <w:t xml:space="preserve">WeGroYou NPC + Co-op</w:t>
      </w:r>
      <w:r>
        <w:rPr>
          <w:sz w:val="22"/>
          <w:szCs w:val="22"/>
        </w:rPr>
        <w:t xml:space="preserve"> (the NPC), as campus lessee and steward;</w:t>
      </w:r>
    </w:p>
    <w:p>
      <w:pPr>
        <w:spacing w:after="140"/>
      </w:pPr>
      <w:r>
        <w:rPr>
          <w:sz w:val="22"/>
          <w:szCs w:val="22"/>
        </w:rPr>
        <w:t xml:space="preserve">(b) </w:t>
      </w:r>
      <w:r>
        <w:rPr>
          <w:b/>
          <w:bCs/>
          <w:sz w:val="22"/>
          <w:szCs w:val="22"/>
        </w:rPr>
        <w:t xml:space="preserve">[OPERATOR ENTITY]</w:t>
      </w:r>
      <w:r>
        <w:rPr>
          <w:sz w:val="22"/>
          <w:szCs w:val="22"/>
        </w:rPr>
        <w:t xml:space="preserve">, trading as </w:t>
      </w:r>
      <w:r>
        <w:rPr>
          <w:b/>
          <w:bCs/>
          <w:sz w:val="22"/>
          <w:szCs w:val="22"/>
        </w:rPr>
        <w:t xml:space="preserve">[VERTICAL NAME]</w:t>
      </w:r>
      <w:r>
        <w:rPr>
          <w:sz w:val="22"/>
          <w:szCs w:val="22"/>
        </w:rPr>
        <w:t xml:space="preserve">, tenant operator of the [vertical] vertical on the WeGroYou campus at 15 Union Street, Franschhoek; and</w:t>
      </w:r>
    </w:p>
    <w:p>
      <w:pPr>
        <w:spacing w:after="140"/>
      </w:pPr>
      <w:r>
        <w:rPr>
          <w:sz w:val="22"/>
          <w:szCs w:val="22"/>
        </w:rPr>
        <w:t xml:space="preserve">(c) </w:t>
      </w:r>
      <w:r>
        <w:rPr>
          <w:b/>
          <w:bCs/>
          <w:sz w:val="22"/>
          <w:szCs w:val="22"/>
        </w:rPr>
        <w:t xml:space="preserve">Education &amp; Growth Foundation SA</w:t>
      </w:r>
      <w:r>
        <w:rPr>
          <w:sz w:val="22"/>
          <w:szCs w:val="22"/>
        </w:rPr>
        <w:t xml:space="preserve"> (the Foundation), as named beneficiary of the pledges set out below.</w:t>
      </w:r>
    </w:p>
    <w:p>
      <w:pPr>
        <w:pStyle w:val="Heading2"/>
      </w:pPr>
      <w:r>
        <w:rPr>
          <w:b/>
          <w:bCs/>
          <w:sz w:val="26"/>
          <w:szCs w:val="26"/>
        </w:rPr>
        <w:t xml:space="preserve">1. Operator equity issuance</w:t>
      </w:r>
    </w:p>
    <w:p>
      <w:pPr>
        <w:spacing w:after="140"/>
      </w:pPr>
      <w:r>
        <w:rPr>
          <w:sz w:val="22"/>
          <w:szCs w:val="22"/>
        </w:rPr>
        <w:t xml:space="preserve">On incorporation of the Operator entity (or, if already incorporated, on the effective date of this Addendum), the Operator shall issue ordinary shares as follows:</w:t>
      </w:r>
    </w:p>
    <w:p>
      <w:pPr>
        <w:pStyle w:val="ListParagraph"/>
        <w:numPr>
          <w:ilvl w:val="0"/>
          <w:numId w:val="2"/>
        </w:numPr>
      </w:pPr>
      <w:r>
        <w:rPr>
          <w:sz w:val="22"/>
          <w:szCs w:val="22"/>
        </w:rPr>
        <w:t xml:space="preserve">10% of the Operator's ordinary share capital to the Foundation, fully paid, non-dilutable below 10% without Foundation written consent;</w:t>
      </w:r>
    </w:p>
    <w:p>
      <w:pPr>
        <w:pStyle w:val="ListParagraph"/>
        <w:numPr>
          <w:ilvl w:val="0"/>
          <w:numId w:val="2"/>
        </w:numPr>
      </w:pPr>
      <w:r>
        <w:rPr>
          <w:sz w:val="22"/>
          <w:szCs w:val="22"/>
        </w:rPr>
        <w:t xml:space="preserve">5% (optional, vertical-dependent) to the WeGroYou NPC, as campus rent-in-kind, agreed line-by-line in the tenancy schedule;</w:t>
      </w:r>
    </w:p>
    <w:p>
      <w:pPr>
        <w:pStyle w:val="ListParagraph"/>
        <w:numPr>
          <w:ilvl w:val="0"/>
          <w:numId w:val="2"/>
        </w:numPr>
      </w:pPr>
      <w:r>
        <w:rPr>
          <w:sz w:val="22"/>
          <w:szCs w:val="22"/>
        </w:rPr>
        <w:t xml:space="preserve">Remaining shares to founders, employees and external investors per the Operator's own cap-table policy.</w:t>
      </w:r>
    </w:p>
    <w:p>
      <w:pPr>
        <w:pStyle w:val="Heading2"/>
      </w:pPr>
      <w:r>
        <w:rPr>
          <w:b/>
          <w:bCs/>
          <w:sz w:val="26"/>
          <w:szCs w:val="26"/>
        </w:rPr>
        <w:t xml:space="preserve">2. Anti-dilution</w:t>
      </w:r>
    </w:p>
    <w:p>
      <w:pPr>
        <w:spacing w:after="140"/>
      </w:pPr>
      <w:r>
        <w:rPr>
          <w:sz w:val="22"/>
          <w:szCs w:val="22"/>
        </w:rPr>
        <w:t xml:space="preserve">The Foundation's 10% holding is protected by a contractual anti-dilution floor. Any equity issuance, share split, recapitalisation or convertible instrument that would reduce the Foundation below 10% requires the Foundation's prior written consent. Standard option-pool top-ups up to 15% fully-diluted are pre-approved provided they do not breach the floor.</w:t>
      </w:r>
    </w:p>
    <w:p>
      <w:pPr>
        <w:pStyle w:val="Heading2"/>
      </w:pPr>
      <w:r>
        <w:rPr>
          <w:b/>
          <w:bCs/>
          <w:sz w:val="26"/>
          <w:szCs w:val="26"/>
        </w:rPr>
        <w:t xml:space="preserve">3. Distribution &amp; exit pledge</w:t>
      </w:r>
    </w:p>
    <w:p>
      <w:pPr>
        <w:spacing w:after="140"/>
      </w:pPr>
      <w:r>
        <w:rPr>
          <w:sz w:val="22"/>
          <w:szCs w:val="22"/>
        </w:rPr>
        <w:t xml:space="preserve">On every dividend, distribution, sale, merger, IPO or recapitalisation, the Foundation receives its pro-rata share (10%) in cash on the same terms and at the same time as other ordinary shareholders. No side-letter or differential preference may disadvantage the Foundation's economics.</w:t>
      </w:r>
    </w:p>
    <w:p>
      <w:pPr>
        <w:pStyle w:val="Heading2"/>
      </w:pPr>
      <w:r>
        <w:rPr>
          <w:b/>
          <w:bCs/>
          <w:sz w:val="26"/>
          <w:szCs w:val="26"/>
        </w:rPr>
        <w:t xml:space="preserve">4. Use of Foundation proceeds</w:t>
      </w:r>
    </w:p>
    <w:p>
      <w:pPr>
        <w:spacing w:after="140"/>
      </w:pPr>
      <w:r>
        <w:rPr>
          <w:sz w:val="22"/>
          <w:szCs w:val="22"/>
        </w:rPr>
        <w:t xml:space="preserve">All proceeds are ring-fenced to the Foundation Charter mandate: bursaries, teacher development, school scale-out (700 → 20,000 learners), valley founder grants, and the next-campus capital pool. Trustees may not redirect operator-pledged proceeds to general operating expenses of the campus or to ManCo.</w:t>
      </w:r>
    </w:p>
    <w:p>
      <w:pPr>
        <w:pStyle w:val="Heading2"/>
      </w:pPr>
      <w:r>
        <w:rPr>
          <w:b/>
          <w:bCs/>
          <w:sz w:val="26"/>
          <w:szCs w:val="26"/>
        </w:rPr>
        <w:t xml:space="preserve">5. Governance &amp; reporting</w:t>
      </w:r>
    </w:p>
    <w:p>
      <w:pPr>
        <w:spacing w:after="140"/>
      </w:pPr>
      <w:r>
        <w:rPr>
          <w:sz w:val="22"/>
          <w:szCs w:val="22"/>
        </w:rPr>
        <w:t xml:space="preserve">Foundation is a non-voting shareholder for routine matters but holds full information rights: monthly management accounts, annual audited financials, cap-table on demand, notice of every reserved matter. Foundation is entitled to one observer seat on the Operator's board.</w:t>
      </w:r>
    </w:p>
    <w:p>
      <w:pPr>
        <w:pStyle w:val="Heading2"/>
      </w:pPr>
      <w:r>
        <w:rPr>
          <w:b/>
          <w:bCs/>
          <w:sz w:val="26"/>
          <w:szCs w:val="26"/>
        </w:rPr>
        <w:t xml:space="preserve">6. Reserved matters</w:t>
      </w:r>
    </w:p>
    <w:p>
      <w:pPr>
        <w:spacing w:after="140"/>
      </w:pPr>
      <w:r>
        <w:rPr>
          <w:sz w:val="22"/>
          <w:szCs w:val="22"/>
        </w:rPr>
        <w:t xml:space="preserve">Operator may not, without Foundation prior written consent: (a) issue equity that breaches the 10% floor; (b) sell substantially all assets; (c) wind up; (d) amend this Addendum; (e) cease trading on the campus while continuing to trade as the same vertical brand elsewhere; (f) sub-license the vertical brand to a third party.</w:t>
      </w:r>
    </w:p>
    <w:p>
      <w:pPr>
        <w:pStyle w:val="Heading2"/>
      </w:pPr>
      <w:r>
        <w:rPr>
          <w:b/>
          <w:bCs/>
          <w:sz w:val="26"/>
          <w:szCs w:val="26"/>
        </w:rPr>
        <w:t xml:space="preserve">7. Tenancy linkage</w:t>
      </w:r>
    </w:p>
    <w:p>
      <w:pPr>
        <w:spacing w:after="140"/>
      </w:pPr>
      <w:r>
        <w:rPr>
          <w:sz w:val="22"/>
          <w:szCs w:val="22"/>
        </w:rPr>
        <w:t xml:space="preserve">Executed contemporaneously with the Operator's tenancy agreement with the NPC. Termination of tenancy does not extinguish the Foundation's equity holding. If the Operator continues to trade after exit from the campus, the Foundation's 10% holding survives in perpetuity unless redeemed at fair market value by mutual written agreement.</w:t>
      </w:r>
    </w:p>
    <w:p>
      <w:pPr>
        <w:pStyle w:val="Heading2"/>
      </w:pPr>
      <w:r>
        <w:rPr>
          <w:b/>
          <w:bCs/>
          <w:sz w:val="26"/>
          <w:szCs w:val="26"/>
        </w:rPr>
        <w:t xml:space="preserve">8. Irrevocability</w:t>
      </w:r>
    </w:p>
    <w:p>
      <w:pPr>
        <w:spacing w:after="140"/>
      </w:pPr>
      <w:r>
        <w:rPr>
          <w:sz w:val="22"/>
          <w:szCs w:val="22"/>
        </w:rPr>
        <w:t xml:space="preserve">This Addendum is irrevocable. Survives change of Operator control, replacement of founders, restructure of the NPC, replacement of ManCo, and any restructure of the Foundation.</w:t>
      </w:r>
    </w:p>
    <w:p>
      <w:pPr>
        <w:pStyle w:val="Heading2"/>
      </w:pPr>
      <w:r>
        <w:rPr>
          <w:b/>
          <w:bCs/>
          <w:sz w:val="26"/>
          <w:szCs w:val="26"/>
        </w:rPr>
        <w:t xml:space="preserve">9. Governing law</w:t>
      </w:r>
    </w:p>
    <w:p>
      <w:pPr>
        <w:spacing w:after="140"/>
      </w:pPr>
      <w:r>
        <w:rPr>
          <w:sz w:val="22"/>
          <w:szCs w:val="22"/>
        </w:rPr>
        <w:t xml:space="preserve">South African law. Disputes referred first to mediation under AFSA rules, thereafter to arbitration in Cape Town.</w:t>
      </w:r>
    </w:p>
    <w:p>
      <w:r>
        <w:t xml:space="preserve"> </w:t>
      </w:r>
    </w:p>
    <w:p>
      <w:pPr>
        <w:pStyle w:val="Heading2"/>
      </w:pPr>
      <w:r>
        <w:rPr>
          <w:b/>
          <w:bCs/>
          <w:sz w:val="26"/>
          <w:szCs w:val="26"/>
        </w:rPr>
        <w:t xml:space="preserve">Signature block</w:t>
      </w:r>
    </w:p>
    <w:p>
      <w:pPr>
        <w:spacing w:after="240"/>
      </w:pPr>
      <w:r>
        <w:rPr>
          <w:sz w:val="22"/>
          <w:szCs w:val="22"/>
        </w:rPr>
        <w:t xml:space="preserve">Signed at __________________________ on the ______ day of __________________ 20____</w:t>
      </w:r>
    </w:p>
    <w:tbl>
      <w:tblPr>
        <w:tblW w:type="dxa" w:w="900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000"/>
      </w:tblGrid>
      <w:tr>
        <w:tc>
          <w:tcPr>
            <w:tcW w:type="dxa" w:w="3000"/>
            <w:tcMar>
              <w:top w:type="dxa" w:w="120"/>
              <w:left w:type="dxa" w:w="120"/>
              <w:bottom w:type="dxa" w:w="120"/>
              <w:right w:type="dxa" w:w="120"/>
            </w:tcMar>
          </w:tcPr>
          <w:p>
            <w:pPr>
              <w:spacing w:after="120"/>
            </w:pPr>
            <w:r>
              <w:rPr>
                <w:b/>
                <w:bCs/>
                <w:color w:val="E5322D"/>
                <w:sz w:val="18"/>
                <w:szCs w:val="18"/>
              </w:rPr>
              <w:t xml:space="preserve">FOR THE OPERATOR</w:t>
            </w:r>
          </w:p>
          <w:p>
            <w:r>
              <w:rPr>
                <w:sz w:val="20"/>
                <w:szCs w:val="20"/>
              </w:rPr>
              <w:t xml:space="preserve">Name: ____________________</w:t>
            </w:r>
          </w:p>
          <w:p>
            <w:r>
              <w:rPr>
                <w:sz w:val="20"/>
                <w:szCs w:val="20"/>
              </w:rPr>
              <w:t xml:space="preserve">Title: ____________________</w:t>
            </w:r>
          </w:p>
          <w:p>
            <w:r>
              <w:rPr>
                <w:sz w:val="20"/>
                <w:szCs w:val="20"/>
              </w:rPr>
              <w:t xml:space="preserve">Signature: ________________</w:t>
            </w:r>
          </w:p>
        </w:tc>
        <w:tc>
          <w:tcPr>
            <w:tcW w:type="dxa" w:w="3000"/>
            <w:tcMar>
              <w:top w:type="dxa" w:w="120"/>
              <w:left w:type="dxa" w:w="120"/>
              <w:bottom w:type="dxa" w:w="120"/>
              <w:right w:type="dxa" w:w="120"/>
            </w:tcMar>
          </w:tcPr>
          <w:p>
            <w:pPr>
              <w:spacing w:after="120"/>
            </w:pPr>
            <w:r>
              <w:rPr>
                <w:b/>
                <w:bCs/>
                <w:color w:val="E5322D"/>
                <w:sz w:val="18"/>
                <w:szCs w:val="18"/>
              </w:rPr>
              <w:t xml:space="preserve">FOR THE NPC</w:t>
            </w:r>
          </w:p>
          <w:p>
            <w:r>
              <w:rPr>
                <w:sz w:val="20"/>
                <w:szCs w:val="20"/>
              </w:rPr>
              <w:t xml:space="preserve">Name: ____________________</w:t>
            </w:r>
          </w:p>
          <w:p>
            <w:r>
              <w:rPr>
                <w:sz w:val="20"/>
                <w:szCs w:val="20"/>
              </w:rPr>
              <w:t xml:space="preserve">Title: ____________________</w:t>
            </w:r>
          </w:p>
          <w:p>
            <w:r>
              <w:rPr>
                <w:sz w:val="20"/>
                <w:szCs w:val="20"/>
              </w:rPr>
              <w:t xml:space="preserve">Signature: ________________</w:t>
            </w:r>
          </w:p>
        </w:tc>
        <w:tc>
          <w:tcPr>
            <w:tcW w:type="dxa" w:w="3000"/>
            <w:tcMar>
              <w:top w:type="dxa" w:w="120"/>
              <w:left w:type="dxa" w:w="120"/>
              <w:bottom w:type="dxa" w:w="120"/>
              <w:right w:type="dxa" w:w="120"/>
            </w:tcMar>
          </w:tcPr>
          <w:p>
            <w:pPr>
              <w:spacing w:after="120"/>
            </w:pPr>
            <w:r>
              <w:rPr>
                <w:b/>
                <w:bCs/>
                <w:color w:val="E5322D"/>
                <w:sz w:val="18"/>
                <w:szCs w:val="18"/>
              </w:rPr>
              <w:t xml:space="preserve">FOR THE FOUNDATION</w:t>
            </w:r>
          </w:p>
          <w:p>
            <w:r>
              <w:rPr>
                <w:sz w:val="20"/>
                <w:szCs w:val="20"/>
              </w:rPr>
              <w:t xml:space="preserve">Name: ____________________</w:t>
            </w:r>
          </w:p>
          <w:p>
            <w:r>
              <w:rPr>
                <w:sz w:val="20"/>
                <w:szCs w:val="20"/>
              </w:rPr>
              <w:t xml:space="preserve">Title: ____________________</w:t>
            </w:r>
          </w:p>
          <w:p>
            <w:r>
              <w:rPr>
                <w:sz w:val="20"/>
                <w:szCs w:val="20"/>
              </w:rPr>
              <w:t xml:space="preserve">Signature: ________________</w:t>
            </w:r>
          </w:p>
        </w:tc>
      </w:tr>
    </w:tbl>
    <w:p>
      <w:r>
        <w:t xml:space="preserve"> </w:t>
      </w:r>
    </w:p>
    <w:p>
      <w:r>
        <w:rPr>
          <w:i/>
          <w:iCs/>
          <w:color w:val="6E6E6E"/>
          <w:sz w:val="18"/>
          <w:szCs w:val="18"/>
        </w:rPr>
        <w:t xml:space="preserve">Counter-signed by Managing Partner (ManCo) and acknowledged by LifeStone (founding partner, sunsets year 3).</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2026-05-01T20:30:28.559Z</dcterms:created>
  <dcterms:modified xsi:type="dcterms:W3CDTF">2026-05-01T20:30:28.560Z</dcterms:modified>
</cp:coreProperties>
</file>

<file path=docProps/custom.xml><?xml version="1.0" encoding="utf-8"?>
<Properties xmlns="http://schemas.openxmlformats.org/officeDocument/2006/custom-properties" xmlns:vt="http://schemas.openxmlformats.org/officeDocument/2006/docPropsVTypes"/>
</file>