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E10600"/>
          <w:sz w:val="16"/>
        </w:rPr>
        <w:t>WEGROYOU · INTERNAL · INVESTORS · MUNICIPALITY</w:t>
      </w:r>
    </w:p>
    <w:p>
      <w:r>
        <w:rPr>
          <w:b/>
          <w:sz w:val="40"/>
        </w:rPr>
        <w:t>Partner Engagement Plan — Franschhoek Valley</w:t>
      </w:r>
    </w:p>
    <w:p>
      <w:r>
        <w:rPr>
          <w:color w:val="6B7280"/>
          <w:sz w:val="16"/>
        </w:rPr>
        <w:t>Version v1 · May 2026</w:t>
      </w:r>
    </w:p>
    <w:p/>
    <w:p>
      <w:r>
        <w:rPr>
          <w:b/>
          <w:color w:val="E10600"/>
          <w:sz w:val="16"/>
        </w:rPr>
        <w:t>PURPOSE</w:t>
      </w:r>
    </w:p>
    <w:p>
      <w:r>
        <w:t>This plan lists the schools, NPOs, foundations, conservation networks, sport bodies, art and heritage organisations, and government counterparties WeGroYou is engaging across the Franschhoek and broader Cape Winelands area. The live registry is at /valley-partners.</w:t>
      </w:r>
    </w:p>
    <w:p>
      <w:r>
        <w:rPr>
          <w:b/>
          <w:sz w:val="32"/>
        </w:rPr>
        <w:t>1. Priority 1 — engage now</w:t>
      </w:r>
    </w:p>
    <w:p>
      <w:pPr>
        <w:pStyle w:val="ListBullet"/>
      </w:pPr>
      <w:r>
        <w:t>InHarmonie — community / valley youth (Hein Koegelenberg-linked)</w:t>
      </w:r>
    </w:p>
    <w:p>
      <w:pPr>
        <w:pStyle w:val="ListBullet"/>
      </w:pPr>
      <w:r>
        <w:t>La Motte Social Responsibility — heritage and community</w:t>
      </w:r>
    </w:p>
    <w:p>
      <w:pPr>
        <w:pStyle w:val="ListBullet"/>
      </w:pPr>
      <w:r>
        <w:t>Pebbles Project — early childhood development on Cape Winelands farms</w:t>
      </w:r>
    </w:p>
    <w:p>
      <w:pPr>
        <w:pStyle w:val="ListBullet"/>
      </w:pPr>
      <w:r>
        <w:t>Stellenbosch University — research, hospitality, sport, agriculture</w:t>
      </w:r>
    </w:p>
    <w:p>
      <w:pPr>
        <w:pStyle w:val="ListBullet"/>
      </w:pPr>
      <w:r>
        <w:t>Western Cape Department of Education — school approval pathway</w:t>
      </w:r>
    </w:p>
    <w:p>
      <w:pPr>
        <w:pStyle w:val="ListBullet"/>
      </w:pPr>
      <w:r>
        <w:t>Wesgro — tourism, trade and investment promotion</w:t>
      </w:r>
    </w:p>
    <w:p>
      <w:pPr>
        <w:pStyle w:val="ListBullet"/>
      </w:pPr>
      <w:r>
        <w:t>Heritage Western Cape — heritage approvals on the AD 1907 building</w:t>
      </w:r>
    </w:p>
    <w:p>
      <w:pPr>
        <w:pStyle w:val="ListBullet"/>
      </w:pPr>
      <w:r>
        <w:t>Franschhoek Wine Valley — bednight overflow + DHN channel</w:t>
      </w:r>
    </w:p>
    <w:p>
      <w:pPr>
        <w:pStyle w:val="ListBullet"/>
      </w:pPr>
      <w:r>
        <w:t>Heron Africa — confirmed hospitality partner</w:t>
      </w:r>
    </w:p>
    <w:p>
      <w:pPr>
        <w:pStyle w:val="ListBullet"/>
      </w:pPr>
      <w:r>
        <w:t>WeLoveParks.org — confirmed conservation partner</w:t>
      </w:r>
    </w:p>
    <w:p>
      <w:r>
        <w:rPr>
          <w:b/>
          <w:sz w:val="32"/>
        </w:rPr>
        <w:t>2. Priority 2 — engage soon</w:t>
      </w:r>
    </w:p>
    <w:p>
      <w:pPr>
        <w:pStyle w:val="ListBullet"/>
      </w:pPr>
      <w:r>
        <w:t>Click Foundation — foundation-phase literacy</w:t>
      </w:r>
    </w:p>
    <w:p>
      <w:pPr>
        <w:pStyle w:val="ListBullet"/>
      </w:pPr>
      <w:r>
        <w:t>Shine Literacy — grade 2/3 reading programme</w:t>
      </w:r>
    </w:p>
    <w:p>
      <w:pPr>
        <w:pStyle w:val="ListBullet"/>
      </w:pPr>
      <w:r>
        <w:t>Franschhoek Literary Festival — NXT Studio + Hall of Fame programming</w:t>
      </w:r>
    </w:p>
    <w:p>
      <w:pPr>
        <w:pStyle w:val="ListBullet"/>
      </w:pPr>
      <w:r>
        <w:t>Cape Leopard Trust — NXT Rangers conservation partner</w:t>
      </w:r>
    </w:p>
    <w:p>
      <w:pPr>
        <w:pStyle w:val="ListBullet"/>
      </w:pPr>
      <w:r>
        <w:t>Greater Simonsberg Conservancy — land stewardship</w:t>
      </w:r>
    </w:p>
    <w:p>
      <w:pPr>
        <w:pStyle w:val="ListBullet"/>
      </w:pPr>
      <w:r>
        <w:t>CPUT Hospitality — NXT Chefs articulation pathway</w:t>
      </w:r>
    </w:p>
    <w:p>
      <w:pPr>
        <w:pStyle w:val="ListBullet"/>
      </w:pPr>
      <w:r>
        <w:t>Boland Cricket — NXT Sportif feeder</w:t>
      </w:r>
    </w:p>
    <w:p>
      <w:pPr>
        <w:pStyle w:val="ListBullet"/>
      </w:pPr>
      <w:r>
        <w:t>WP Rugby Academies — NXT Sportif feeder</w:t>
      </w:r>
    </w:p>
    <w:p>
      <w:r>
        <w:rPr>
          <w:b/>
          <w:sz w:val="32"/>
        </w:rPr>
        <w:t>3. Engagement protocol</w:t>
      </w:r>
    </w:p>
    <w:p>
      <w:pPr>
        <w:pStyle w:val="ListBullet"/>
      </w:pPr>
      <w:r>
        <w:t>Initial introduction by Wim Meyer (Managing Partner) or LifeStone team</w:t>
      </w:r>
    </w:p>
    <w:p>
      <w:pPr>
        <w:pStyle w:val="ListBullet"/>
      </w:pPr>
      <w:r>
        <w:t>Brief shared via /stakeholders document hub with audience filter applied</w:t>
      </w:r>
    </w:p>
    <w:p>
      <w:pPr>
        <w:pStyle w:val="ListBullet"/>
      </w:pPr>
      <w:r>
        <w:t>Site walk-through at the campus</w:t>
      </w:r>
    </w:p>
    <w:p>
      <w:pPr>
        <w:pStyle w:val="ListBullet"/>
      </w:pPr>
      <w:r>
        <w:t>MoU drafted within 60 days of in-principle agreement</w:t>
      </w:r>
    </w:p>
    <w:p>
      <w:pPr>
        <w:pStyle w:val="ListBullet"/>
      </w:pPr>
      <w:r>
        <w:t>Status tracked publicly at /valley-partners</w:t>
      </w:r>
    </w:p>
    <w:p/>
    <w:p>
      <w:r>
        <w:rPr>
          <w:color w:val="6B7280"/>
          <w:sz w:val="16"/>
        </w:rPr>
        <w:t>Structured draft — not a final legal instrument. WeGroYou NPC + Co-op.</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